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160" w:line="450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Odstąpienie od zakupu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Zgodnie z prawem Rzeczpospolitej Polskiej przy zakupie towarów przez Internet klientowi przysługuje prawo do odstąpienia od umowy zakupu zawartej na odległość, bez podawania przyczyny.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Odstąpienie, o którym mowa powyżej musi zostać złożone na piśmie i przesłane w terminie do 14 dni od daty dostarczenia zamówionych towarów do klienta, na adres: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InView Medical</w:t>
        <w:br w:type="textWrapping"/>
        <w:t xml:space="preserve">Pl. Powstańców Śląskich 17A lok. 222</w:t>
        <w:br w:type="textWrapping"/>
        <w:t xml:space="preserve">53-329 Wrocław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Ponieważ oferowane w Sklepie internetowym mają charakter medyczny lub higieniczny, prawo do odstąpienia od umowy sprzedaży zostaje wyłączone w przypadku rozpieczętowania zabezpieczonych towarów. Towary muszą zostać zwrócone w stanie niezmienionym, chyba że zmiana była konieczna w granicach zwykłego zarządu. Zwrot powinien nastąpić niezwłocznie, nie później niż w terminie 14 dni od daty od daty dostarczenia zamówionych towarów do klienta, na adres podany wyżej.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Zwracane przez klienta towary powinny zostać opakowane w odpowiedni sposób, zapewniający brak uszkodzeń przesyłki w trakcie transportu</w:t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